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Порядок  подачи  заявки  на  технологическое  присоединение  энергопринимающих  устройств с максимальной  мощностью  свыше 150 кВт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5670" w:leader="none"/>
          <w:tab w:val="left" w:pos="5812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2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роцедура технологического присоединения объектов заявителей регламентирована Правилами технологического присоединения </w:t>
      </w:r>
      <w:r>
        <w:rPr>
          <w:sz w:val="28"/>
          <w:szCs w:val="28"/>
        </w:rPr>
        <w:t xml:space="preserve">энергопринимающих</w:t>
      </w:r>
      <w:r>
        <w:rPr>
          <w:sz w:val="28"/>
          <w:szCs w:val="28"/>
        </w:rPr>
        <w:t xml:space="preserve"> устройств потребителей электрическо</w:t>
      </w:r>
      <w:r>
        <w:rPr>
          <w:sz w:val="28"/>
          <w:szCs w:val="28"/>
        </w:rPr>
        <w:t xml:space="preserve">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 утвержденных Постановлением Правительства от 27.12.2004 № 861 (далее - Правила).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2"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Технологическое присоединение осуществляется на основании договора, заключенного между сетевой организацией и заявителем, в сроки, предусмотренные Правилами.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2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ab/>
        <w:t xml:space="preserve">Для осуществления технологического присоединения на основании пункта 7(а) Правил в адрес филиала «Кузбассэнерго-РЭС» необходимо направить заявку.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9 Правил в заявке, направляемой заявителем, должны быть в зависимости от конкретных условий указаны следующие сведения: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реквизиты заявителя (для юридических лиц - ПОЛНОЕ наименование, ОГРН и ИНН, для индивидуальных предпринимателей - фамилия, имя, отчество физического лица, ОГРИП</w:t>
      </w:r>
      <w:r>
        <w:rPr>
          <w:sz w:val="28"/>
          <w:szCs w:val="28"/>
        </w:rPr>
        <w:t xml:space="preserve"> и ИНН, для физических лиц - фамилия, имя, отчество (при наличии), серия, номер и дата выдачи паспорта или иного документа, удостоверяющего личность гражданина на </w:t>
      </w:r>
      <w:r>
        <w:rPr>
          <w:sz w:val="28"/>
          <w:szCs w:val="28"/>
        </w:rPr>
        <w:t xml:space="preserve">территории Российской Федерации, номер СНИЛС, а также номер  сотового телефона и ад</w:t>
      </w:r>
      <w:r>
        <w:rPr>
          <w:sz w:val="28"/>
          <w:szCs w:val="28"/>
        </w:rPr>
        <w:t xml:space="preserve">рес электронной почты заявителя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наименование и место нахождения </w:t>
      </w:r>
      <w:r>
        <w:rPr>
          <w:sz w:val="28"/>
          <w:szCs w:val="28"/>
        </w:rPr>
        <w:t xml:space="preserve">энергопринимающих</w:t>
      </w:r>
      <w:r>
        <w:rPr>
          <w:sz w:val="28"/>
          <w:szCs w:val="28"/>
        </w:rPr>
        <w:t xml:space="preserve"> устройств, которые необходимо присоединить к электрическим сетям сетевой организации;(адрес  расположения  энергопринимающих  устройств  необходимо указать в  полном соответствии правоустанавливающему документу);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место нахождения (место жительства) заявителя;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запрашиваемая максимальная мощность </w:t>
      </w:r>
      <w:r>
        <w:rPr>
          <w:sz w:val="28"/>
          <w:szCs w:val="28"/>
        </w:rPr>
        <w:t xml:space="preserve">энергопринимающих</w:t>
      </w:r>
      <w:r>
        <w:rPr>
          <w:sz w:val="28"/>
          <w:szCs w:val="28"/>
        </w:rPr>
        <w:t xml:space="preserve"> устройств и их технические характеристики, количество, мощность генераторов ( при наличии) и присоединяемых к сети трансформаторов(при наличии);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количество точек присоединения с указанием технических параметров элементов </w:t>
      </w:r>
      <w:r>
        <w:rPr>
          <w:sz w:val="28"/>
          <w:szCs w:val="28"/>
        </w:rPr>
        <w:t xml:space="preserve">энергопринимающих</w:t>
      </w:r>
      <w:r>
        <w:rPr>
          <w:sz w:val="28"/>
          <w:szCs w:val="28"/>
        </w:rPr>
        <w:t xml:space="preserve"> устройств;( нужно указать  количество  точек  присоединения  и  уровень напряжения в  точках  присоединения, в случае технологического присоединения энергопринимающих  устройств по  1 или 2 ка</w:t>
      </w:r>
      <w:r>
        <w:rPr>
          <w:sz w:val="28"/>
          <w:szCs w:val="28"/>
        </w:rPr>
        <w:t xml:space="preserve">тегории надежности электроснабжения точки присоединения  должны быть  основные  и резервные и максимальная  мощность по  основным и резервным точкам должна  быть одинаковая( Например: максимальная мощность  присоединяемого объекта 4460 кВт, при напряжении </w:t>
      </w:r>
      <w:r>
        <w:rPr>
          <w:sz w:val="28"/>
          <w:szCs w:val="28"/>
        </w:rPr>
        <w:t xml:space="preserve">10 кВ,  категория  надежности  2,  количество точек  присоединения - 4. Распределение  максимальной  мощности  по  точкам присоединения: 1 точка основная - 2230 кВт, 2 точка резервная - 2230 кВт, 3 точка  основная - 2230 кВт, 4 точка резервная - 2230 кВт);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b w:val="0"/>
          <w:bCs w:val="0"/>
          <w:sz w:val="28"/>
          <w:szCs w:val="28"/>
          <w:highlight w:val="white"/>
        </w:rPr>
      </w:pPr>
      <w:r>
        <w:rPr>
          <w:sz w:val="28"/>
          <w:szCs w:val="28"/>
        </w:rPr>
        <w:t xml:space="preserve">- заявляемая категория надежности </w:t>
      </w:r>
      <w:r>
        <w:rPr>
          <w:sz w:val="28"/>
          <w:szCs w:val="28"/>
        </w:rPr>
        <w:t xml:space="preserve">энергопринимающих</w:t>
      </w:r>
      <w:r>
        <w:rPr>
          <w:sz w:val="28"/>
          <w:szCs w:val="28"/>
        </w:rPr>
        <w:t xml:space="preserve"> устройств;(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I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 категория -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электроприемники, перерыв которых недопустим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(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больницы, промышленность непрерывного цикла, объекты обороны),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I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I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 категория - э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лектроприемники, отключение которых приводит к значительным нарушениям (п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ромышленные предприятия, транспорт, крупные торговые центры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),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I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I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I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 категория - в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се остальные электроприемники (ж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илые дома, малые предприятия, административные здания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white"/>
        </w:rPr>
        <w:t xml:space="preserve">.</w:t>
      </w:r>
      <w:r>
        <w:rPr>
          <w:b w:val="0"/>
          <w:bCs w:val="0"/>
          <w:sz w:val="28"/>
          <w:szCs w:val="28"/>
          <w:highlight w:val="white"/>
        </w:rPr>
      </w:r>
      <w:r>
        <w:rPr>
          <w:b w:val="0"/>
          <w:bCs w:val="0"/>
          <w:sz w:val="28"/>
          <w:szCs w:val="28"/>
          <w:highlight w:val="whit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заявляемый характер нагрузки (для генераторов - возможная скорость набора или снижения нагрузки) и наличие нагрузок, искажающих форму кривой электрического тока и вызывающих </w:t>
      </w:r>
      <w:r>
        <w:rPr>
          <w:sz w:val="28"/>
          <w:szCs w:val="28"/>
        </w:rPr>
        <w:t xml:space="preserve">несимметрию</w:t>
      </w:r>
      <w:r>
        <w:rPr>
          <w:sz w:val="28"/>
          <w:szCs w:val="28"/>
        </w:rPr>
        <w:t xml:space="preserve"> напряжения в точках присоединения;( в случае отсутствия нагрузок </w:t>
      </w:r>
      <w:r>
        <w:rPr>
          <w:sz w:val="28"/>
          <w:szCs w:val="28"/>
        </w:rPr>
        <w:t xml:space="preserve">искажающих форму кривой электрического тока и вызывающих </w:t>
      </w:r>
      <w:r>
        <w:rPr>
          <w:sz w:val="28"/>
          <w:szCs w:val="28"/>
        </w:rPr>
        <w:t xml:space="preserve">несимметрию</w:t>
      </w:r>
      <w:r>
        <w:rPr>
          <w:sz w:val="28"/>
          <w:szCs w:val="28"/>
        </w:rPr>
        <w:t xml:space="preserve"> напряжения в точках присоединения</w:t>
      </w:r>
      <w:r>
        <w:rPr>
          <w:sz w:val="28"/>
          <w:szCs w:val="28"/>
        </w:rPr>
        <w:t xml:space="preserve"> нужно указать в заявке: нагрузки </w:t>
      </w:r>
      <w:r>
        <w:rPr>
          <w:sz w:val="28"/>
          <w:szCs w:val="28"/>
        </w:rPr>
        <w:t xml:space="preserve">искажающи</w:t>
      </w:r>
      <w:r>
        <w:rPr>
          <w:sz w:val="28"/>
          <w:szCs w:val="28"/>
        </w:rPr>
        <w:t xml:space="preserve">е форму кривой электрического тока и вызывающие </w:t>
      </w:r>
      <w:r>
        <w:rPr>
          <w:sz w:val="28"/>
          <w:szCs w:val="28"/>
        </w:rPr>
        <w:t xml:space="preserve">несимметрию</w:t>
      </w:r>
      <w:r>
        <w:rPr>
          <w:sz w:val="28"/>
          <w:szCs w:val="28"/>
        </w:rPr>
        <w:t xml:space="preserve"> напряжения в точках присоединения</w:t>
      </w:r>
      <w:r>
        <w:rPr>
          <w:sz w:val="28"/>
          <w:szCs w:val="28"/>
        </w:rPr>
        <w:t xml:space="preserve"> отсутствуют);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величина и обоснование величины технологического минимума (для генераторов), технологической и аварийной брони (для потребителей электрической энергии);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необходимость наличия технологической и (или) аварийной брони, определяемой в соответствии с требованиями </w:t>
      </w:r>
      <w:r>
        <w:rPr>
          <w:sz w:val="28"/>
          <w:szCs w:val="28"/>
        </w:rPr>
        <w:t xml:space="preserve">пункта 14(2) настоящих Правил; (в  случае наличия  аварийной и(или) технологической  брони в  заявке нужно указать  количество кВт аварийной и (или) технологической  брони и обоснование для  каких  целей необходима аварийная и (или) технологическая броня);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сроки проектирования и поэтапного введения в эксплуатацию </w:t>
      </w:r>
      <w:r>
        <w:rPr>
          <w:sz w:val="28"/>
          <w:szCs w:val="28"/>
        </w:rPr>
        <w:t xml:space="preserve">энергопринимающих</w:t>
      </w:r>
      <w:r>
        <w:rPr>
          <w:sz w:val="28"/>
          <w:szCs w:val="28"/>
        </w:rPr>
        <w:t xml:space="preserve"> устройств (в том числе по этапам и очередям);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планируемое распределение максимальной мощности, сроков ввода, набора нагрузки и сведения о категории надежности электроснабжения при вводе </w:t>
      </w:r>
      <w:r>
        <w:rPr>
          <w:sz w:val="28"/>
          <w:szCs w:val="28"/>
        </w:rPr>
        <w:t xml:space="preserve">энергопринимающих</w:t>
      </w:r>
      <w:r>
        <w:rPr>
          <w:sz w:val="28"/>
          <w:szCs w:val="28"/>
        </w:rPr>
        <w:t xml:space="preserve"> устройств по этапам и очередям;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- наименование субъекта </w:t>
      </w:r>
      <w:r>
        <w:rPr>
          <w:sz w:val="28"/>
          <w:szCs w:val="28"/>
        </w:rPr>
        <w:t xml:space="preserve">розничного рынка, с которым заявитель намеревается заключить договор, обеспечивающий продажу электрической энергии (мощности) на розничном рынке, и вид такого договора (договор энергоснабжения или купли-продажи (поставки) электрической энергии (мощности));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п. 10 Правил к заявке прилагаются следующие документы: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- план расположения </w:t>
      </w:r>
      <w:r>
        <w:rPr>
          <w:sz w:val="28"/>
          <w:szCs w:val="28"/>
        </w:rPr>
        <w:t xml:space="preserve">энергопринимающих</w:t>
      </w:r>
      <w:r>
        <w:rPr>
          <w:sz w:val="28"/>
          <w:szCs w:val="28"/>
        </w:rPr>
        <w:t xml:space="preserve"> устройств, которые необходимо присоединить к электрическим сетям сетевой организации;( на плане необходимо указать  границы земельного участка с указанием кадастрового номера)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- однолинейная схема электрических сетей заявителя, присоединяемых к электрическим сетям сетевой организации, номинальный класс напряжения которых </w:t>
      </w:r>
      <w:r>
        <w:rPr>
          <w:sz w:val="28"/>
          <w:szCs w:val="28"/>
        </w:rPr>
        <w:t xml:space="preserve">составляет 35 </w:t>
      </w:r>
      <w:r>
        <w:rPr>
          <w:sz w:val="28"/>
          <w:szCs w:val="28"/>
        </w:rPr>
        <w:t xml:space="preserve">кВ</w:t>
      </w:r>
      <w:r>
        <w:rPr>
          <w:sz w:val="28"/>
          <w:szCs w:val="28"/>
        </w:rPr>
        <w:t xml:space="preserve"> и выше, с указанием возможности резервирования от собственных источников энергоснабжения (включая резервирование для собственных нужд) и возможности переключения нагрузок (генерации) по внутренним сетям заявителя;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перечень и мощность </w:t>
      </w:r>
      <w:r>
        <w:rPr>
          <w:sz w:val="28"/>
          <w:szCs w:val="28"/>
        </w:rPr>
        <w:t xml:space="preserve">энергопринимающих</w:t>
      </w:r>
      <w:r>
        <w:rPr>
          <w:sz w:val="28"/>
          <w:szCs w:val="28"/>
        </w:rPr>
        <w:t xml:space="preserve"> устройств, которые могут быть присоединены к устройствам противоаварийной и режимной автоматики;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один из перечисленных ниже видов документов: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1) копии документов, подтверждающих владен</w:t>
      </w:r>
      <w:r>
        <w:rPr>
          <w:sz w:val="28"/>
          <w:szCs w:val="28"/>
        </w:rPr>
        <w:t xml:space="preserve">ие заявителем на праве собственности или на ином предусмотренном законом основании объектом капитального строительства (нежилым помещением в таком объекте капитального строительства) и (или) земельном участком, на котором расположены (будут располагаться) </w:t>
      </w:r>
      <w:r>
        <w:rPr>
          <w:sz w:val="28"/>
          <w:szCs w:val="28"/>
        </w:rPr>
        <w:t xml:space="preserve">энергопринимающие</w:t>
      </w:r>
      <w:r>
        <w:rPr>
          <w:sz w:val="28"/>
          <w:szCs w:val="28"/>
        </w:rPr>
        <w:t xml:space="preserve"> устройства заявителя;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2)  копия разрешения на 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в целях размещения </w:t>
      </w:r>
      <w:r>
        <w:rPr>
          <w:sz w:val="28"/>
          <w:szCs w:val="28"/>
        </w:rPr>
        <w:t xml:space="preserve">энергопринимающих</w:t>
      </w:r>
      <w:r>
        <w:rPr>
          <w:sz w:val="28"/>
          <w:szCs w:val="28"/>
        </w:rPr>
        <w:t xml:space="preserve"> устройств заявителя (с указанием сведений о границах используемой территории);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3) копии документов, подтверждающих, что заявитель обладает сер</w:t>
      </w:r>
      <w:r>
        <w:rPr>
          <w:sz w:val="28"/>
          <w:szCs w:val="28"/>
        </w:rPr>
        <w:t xml:space="preserve">витутом или публичным сервитутом, которые установлены в соответствии с гражданским законодательством Российской Федерации, земельным законодательством Российской Федерации и предусматривают возможность использования земельного участка для целей размещения </w:t>
      </w:r>
      <w:r>
        <w:rPr>
          <w:sz w:val="28"/>
          <w:szCs w:val="28"/>
        </w:rPr>
        <w:t xml:space="preserve">энергопринимающих</w:t>
      </w:r>
      <w:r>
        <w:rPr>
          <w:sz w:val="28"/>
          <w:szCs w:val="28"/>
        </w:rPr>
        <w:t xml:space="preserve"> устройств заявителя (с указанием сведений о границах сервитута);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для юридических лиц - выписка из Единого государственног</w:t>
      </w:r>
      <w:r>
        <w:rPr>
          <w:sz w:val="28"/>
          <w:szCs w:val="28"/>
        </w:rPr>
        <w:t xml:space="preserve">о реестра юридических лиц, для индивидуальных предпринимателей - выписка из Единого государственного реестра индивидуальных предпринимателей;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- доверенность или иные документы, подтверждающие полномочия представителя заявителя, подающего и получающего документы, - в случае если заявка подается в сетевую организацию представителем заявителя, копия паспорта гражда</w:t>
      </w:r>
      <w:r>
        <w:rPr>
          <w:sz w:val="28"/>
          <w:szCs w:val="28"/>
        </w:rPr>
        <w:t xml:space="preserve">нина Российской Федерации или иного документа, удостоверяющего личность, - в случае если заявителем выступает индивидуальный предприниматель или гражданин.</w:t>
      </w:r>
      <w:r>
        <w:rPr>
          <w:sz w:val="28"/>
          <w:szCs w:val="28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случае технологического присоединения энергопринимающих устр</w:t>
      </w:r>
      <w:r>
        <w:rPr>
          <w:sz w:val="28"/>
          <w:szCs w:val="28"/>
        </w:rPr>
        <w:t xml:space="preserve">ойств, находящихся в нежилых помещениях, расположенных в многоквартирных домах и иных объектах капитального строительства, заявка на технологическое присоединение энергопринимающих устройств подается в сетевую организацию, к объектам электросетевого хозяйс</w:t>
      </w:r>
      <w:r>
        <w:rPr>
          <w:sz w:val="28"/>
          <w:szCs w:val="28"/>
        </w:rPr>
        <w:t xml:space="preserve">тв</w:t>
      </w:r>
      <w:r>
        <w:rPr>
          <w:sz w:val="28"/>
          <w:szCs w:val="28"/>
        </w:rPr>
        <w:t xml:space="preserve">а которой присоединен соответствующий многоквартирный дом или иной объект капитального строительства, собственником такого нежилого помещения или лицом, обладающим иным законным правом на нежилое помещение и имеющим право распоряжения нежилым помещением - </w:t>
      </w:r>
      <w:r>
        <w:rPr>
          <w:sz w:val="28"/>
          <w:szCs w:val="28"/>
        </w:rPr>
        <w:t xml:space="preserve"> копия документ</w:t>
      </w:r>
      <w:r>
        <w:rPr>
          <w:sz w:val="28"/>
          <w:szCs w:val="28"/>
        </w:rPr>
        <w:t xml:space="preserve">а, подтверждающего согласие организации, осуществляющей управление многоквартирным домом, при наличии у такой организации соответствующих полномочий либо при ее отсутствии или отсутствии у нее полномочий согласие общего собрания собственников помещений мно</w:t>
      </w:r>
      <w:r>
        <w:rPr>
          <w:sz w:val="28"/>
          <w:szCs w:val="28"/>
        </w:rPr>
        <w:t xml:space="preserve">гоквартирного дома на организацию присоединения нежилого помещения отдельными линиями от вводного устройства (вводно-распределительного устройства, главного распределительного щита), установленного на вводе питающей линии сетевой организации в соответствую</w:t>
      </w:r>
      <w:r>
        <w:rPr>
          <w:sz w:val="28"/>
          <w:szCs w:val="28"/>
        </w:rPr>
        <w:t xml:space="preserve">щее здание или его обособленную часть (если для соответствующего нежилого помещения проектом на многоквартирный дом не предусмотрено индивидуальное вводно-распределительное устройство с непосредственным присоединением к питающей линии сетевой организации);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widowControl w:val="off"/>
        <w:tabs>
          <w:tab w:val="left" w:pos="709" w:leader="none"/>
        </w:tabs>
        <w:rPr>
          <w:sz w:val="24"/>
          <w:szCs w:val="24"/>
        </w:rPr>
      </w:pPr>
      <w:r>
        <w:rPr>
          <w:sz w:val="28"/>
          <w:szCs w:val="28"/>
        </w:rPr>
        <w:t xml:space="preserve">- подписанный заявителем проект договора энергоснабжения (купли-продажи (поставки) электрической эн</w:t>
      </w:r>
      <w:r>
        <w:rPr>
          <w:sz w:val="28"/>
          <w:szCs w:val="28"/>
        </w:rPr>
        <w:t xml:space="preserve">ергии (мощности) или протокол разногласий к проекту договора, форма которого размещена (опубликована) гарантирующим поставщиком в соответствии с пунктом 33 Основных положений функционирования розничных рынков электрической энергии (предоставляется по желан</w:t>
      </w:r>
      <w:r>
        <w:rPr>
          <w:sz w:val="28"/>
          <w:szCs w:val="28"/>
        </w:rPr>
        <w:t xml:space="preserve">ию заявителя при намерении заключить договор энергоснабжения (купли-продажи (поставки) электрической энергии (мощности) с гарантирующим поставщиком), с приложением документов, подтверждающих полномочия представителя заявителя на заключение такого договора.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708" w:right="2" w:firstLine="1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0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0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0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0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0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0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0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0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0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0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0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0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0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418" w:right="709" w:bottom="1418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506674586"/>
      <w:docPartObj>
        <w:docPartGallery w:val="Page Numbers (Top of Page)"/>
        <w:docPartUnique w:val="true"/>
      </w:docPartObj>
      <w:rPr/>
    </w:sdtPr>
    <w:sdtContent>
      <w:p>
        <w:pPr>
          <w:pStyle w:val="85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50"/>
    <w:next w:val="850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basedOn w:val="851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50"/>
    <w:next w:val="850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basedOn w:val="851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50"/>
    <w:next w:val="850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basedOn w:val="851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50"/>
    <w:next w:val="850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basedOn w:val="851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50"/>
    <w:next w:val="850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basedOn w:val="851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50"/>
    <w:next w:val="850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basedOn w:val="851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50"/>
    <w:next w:val="850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basedOn w:val="851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50"/>
    <w:next w:val="850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basedOn w:val="851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50"/>
    <w:next w:val="850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basedOn w:val="851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No Spacing"/>
    <w:uiPriority w:val="1"/>
    <w:qFormat/>
    <w:pPr>
      <w:spacing w:before="0" w:after="0" w:line="240" w:lineRule="auto"/>
    </w:pPr>
  </w:style>
  <w:style w:type="paragraph" w:styleId="695">
    <w:name w:val="Title"/>
    <w:basedOn w:val="850"/>
    <w:next w:val="850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>
    <w:name w:val="Title Char"/>
    <w:basedOn w:val="851"/>
    <w:link w:val="695"/>
    <w:uiPriority w:val="10"/>
    <w:rPr>
      <w:sz w:val="48"/>
      <w:szCs w:val="48"/>
    </w:rPr>
  </w:style>
  <w:style w:type="paragraph" w:styleId="697">
    <w:name w:val="Subtitle"/>
    <w:basedOn w:val="850"/>
    <w:next w:val="850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>
    <w:name w:val="Subtitle Char"/>
    <w:basedOn w:val="851"/>
    <w:link w:val="697"/>
    <w:uiPriority w:val="11"/>
    <w:rPr>
      <w:sz w:val="24"/>
      <w:szCs w:val="24"/>
    </w:rPr>
  </w:style>
  <w:style w:type="paragraph" w:styleId="699">
    <w:name w:val="Quote"/>
    <w:basedOn w:val="850"/>
    <w:next w:val="850"/>
    <w:link w:val="700"/>
    <w:uiPriority w:val="29"/>
    <w:qFormat/>
    <w:pPr>
      <w:ind w:left="720" w:right="720"/>
    </w:pPr>
    <w:rPr>
      <w:i/>
    </w:rPr>
  </w:style>
  <w:style w:type="character" w:styleId="700">
    <w:name w:val="Quote Char"/>
    <w:link w:val="699"/>
    <w:uiPriority w:val="29"/>
    <w:rPr>
      <w:i/>
    </w:rPr>
  </w:style>
  <w:style w:type="paragraph" w:styleId="701">
    <w:name w:val="Intense Quote"/>
    <w:basedOn w:val="850"/>
    <w:next w:val="850"/>
    <w:link w:val="7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>
    <w:name w:val="Intense Quote Char"/>
    <w:link w:val="701"/>
    <w:uiPriority w:val="30"/>
    <w:rPr>
      <w:i/>
    </w:rPr>
  </w:style>
  <w:style w:type="character" w:styleId="703">
    <w:name w:val="Header Char"/>
    <w:basedOn w:val="851"/>
    <w:link w:val="854"/>
    <w:uiPriority w:val="99"/>
  </w:style>
  <w:style w:type="character" w:styleId="704">
    <w:name w:val="Footer Char"/>
    <w:basedOn w:val="851"/>
    <w:link w:val="858"/>
    <w:uiPriority w:val="99"/>
  </w:style>
  <w:style w:type="paragraph" w:styleId="705">
    <w:name w:val="Caption"/>
    <w:basedOn w:val="850"/>
    <w:next w:val="850"/>
    <w:link w:val="7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6">
    <w:name w:val="Caption Char"/>
    <w:basedOn w:val="705"/>
    <w:link w:val="858"/>
    <w:uiPriority w:val="99"/>
  </w:style>
  <w:style w:type="table" w:styleId="707">
    <w:name w:val="Table Grid"/>
    <w:basedOn w:val="85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Table Grid Light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1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1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1" w:default="1">
    <w:name w:val="Default Paragraph Font"/>
    <w:uiPriority w:val="1"/>
    <w:semiHidden/>
    <w:unhideWhenUsed/>
  </w:style>
  <w:style w:type="table" w:styleId="85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3" w:default="1">
    <w:name w:val="No List"/>
    <w:uiPriority w:val="99"/>
    <w:semiHidden/>
    <w:unhideWhenUsed/>
  </w:style>
  <w:style w:type="paragraph" w:styleId="854">
    <w:name w:val="Header"/>
    <w:basedOn w:val="850"/>
    <w:link w:val="855"/>
    <w:uiPriority w:val="99"/>
    <w:pPr>
      <w:jc w:val="both"/>
      <w:spacing w:after="240"/>
      <w:tabs>
        <w:tab w:val="center" w:pos="4153" w:leader="none"/>
        <w:tab w:val="right" w:pos="8306" w:leader="none"/>
      </w:tabs>
    </w:pPr>
    <w:rPr>
      <w:sz w:val="22"/>
      <w:szCs w:val="22"/>
    </w:rPr>
  </w:style>
  <w:style w:type="character" w:styleId="855" w:customStyle="1">
    <w:name w:val="Верхний колонтитул Знак"/>
    <w:basedOn w:val="851"/>
    <w:link w:val="854"/>
    <w:uiPriority w:val="99"/>
    <w:rPr>
      <w:rFonts w:ascii="Times New Roman" w:hAnsi="Times New Roman" w:eastAsia="Times New Roman" w:cs="Times New Roman"/>
      <w:lang w:eastAsia="ru-RU"/>
    </w:rPr>
  </w:style>
  <w:style w:type="paragraph" w:styleId="856">
    <w:name w:val="Body Text Indent 2"/>
    <w:basedOn w:val="850"/>
    <w:link w:val="857"/>
    <w:pPr>
      <w:ind w:left="283"/>
      <w:jc w:val="both"/>
      <w:spacing w:before="120" w:after="120" w:line="480" w:lineRule="auto"/>
    </w:pPr>
  </w:style>
  <w:style w:type="character" w:styleId="857" w:customStyle="1">
    <w:name w:val="Основной текст с отступом 2 Знак"/>
    <w:basedOn w:val="851"/>
    <w:link w:val="856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58">
    <w:name w:val="Footer"/>
    <w:basedOn w:val="850"/>
    <w:link w:val="85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59" w:customStyle="1">
    <w:name w:val="Нижний колонтитул Знак"/>
    <w:basedOn w:val="851"/>
    <w:link w:val="85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0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character" w:styleId="861">
    <w:name w:val="Hyperlink"/>
    <w:uiPriority w:val="99"/>
    <w:unhideWhenUsed/>
    <w:rPr>
      <w:color w:val="0000ff"/>
      <w:u w:val="single"/>
    </w:rPr>
  </w:style>
  <w:style w:type="paragraph" w:styleId="862">
    <w:name w:val="List Paragraph"/>
    <w:basedOn w:val="850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863">
    <w:name w:val="Balloon Text"/>
    <w:basedOn w:val="850"/>
    <w:link w:val="864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64" w:customStyle="1">
    <w:name w:val="Текст выноски Знак"/>
    <w:basedOn w:val="851"/>
    <w:link w:val="863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4BCE5-C8E5-4E82-9616-57F99E979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Кузбассэнерго - РЭС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Nikitina_NP</cp:lastModifiedBy>
  <cp:revision>27</cp:revision>
  <dcterms:created xsi:type="dcterms:W3CDTF">2023-06-22T04:37:00Z</dcterms:created>
  <dcterms:modified xsi:type="dcterms:W3CDTF">2025-10-08T04:57:29Z</dcterms:modified>
</cp:coreProperties>
</file>